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0F" w:rsidRPr="00B62171" w:rsidRDefault="00C86B0F" w:rsidP="00C86B0F">
      <w:pPr>
        <w:pStyle w:val="1"/>
        <w:shd w:val="clear" w:color="auto" w:fill="FFFFFF"/>
        <w:suppressAutoHyphens/>
        <w:spacing w:before="0" w:beforeAutospacing="0" w:after="0" w:afterAutospacing="0"/>
        <w:ind w:left="57" w:right="57"/>
        <w:rPr>
          <w:rFonts w:ascii="Times New Roman" w:hAnsi="Times New Roman"/>
          <w:b/>
          <w:color w:val="auto"/>
          <w:sz w:val="26"/>
          <w:szCs w:val="26"/>
        </w:rPr>
      </w:pPr>
      <w:r w:rsidRPr="00B62171">
        <w:rPr>
          <w:rFonts w:ascii="Times New Roman" w:hAnsi="Times New Roman"/>
          <w:b/>
          <w:color w:val="auto"/>
          <w:sz w:val="26"/>
          <w:szCs w:val="26"/>
        </w:rPr>
        <w:t>Рекомендации по организации и содержанию внеурочной деятельности на основе предметного материала</w:t>
      </w:r>
    </w:p>
    <w:p w:rsidR="00C86B0F" w:rsidRPr="00B62171" w:rsidRDefault="00C86B0F" w:rsidP="00C86B0F">
      <w:pPr>
        <w:spacing w:after="0" w:line="240" w:lineRule="auto"/>
        <w:ind w:left="57" w:right="57" w:firstLine="709"/>
        <w:jc w:val="both"/>
        <w:rPr>
          <w:rFonts w:ascii="Times New Roman" w:hAnsi="Times New Roman"/>
          <w:sz w:val="26"/>
          <w:szCs w:val="26"/>
        </w:rPr>
      </w:pP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sz w:val="26"/>
          <w:szCs w:val="26"/>
        </w:rPr>
        <w:t xml:space="preserve">Внеурочная деятельность </w:t>
      </w:r>
      <w:r w:rsidRPr="00B62171">
        <w:rPr>
          <w:rFonts w:ascii="Times New Roman" w:hAnsi="Times New Roman"/>
          <w:bCs/>
          <w:sz w:val="26"/>
          <w:szCs w:val="26"/>
        </w:rPr>
        <w:t>является обязательным компонентом содержания основной образовательной программы основного общего образования (</w:t>
      </w:r>
      <w:r w:rsidRPr="00B62171">
        <w:rPr>
          <w:rFonts w:ascii="Times New Roman" w:hAnsi="Times New Roman"/>
          <w:sz w:val="26"/>
          <w:szCs w:val="26"/>
        </w:rPr>
        <w:t>п.14 ФГОС ООО</w:t>
      </w:r>
      <w:r w:rsidRPr="00B62171">
        <w:rPr>
          <w:rFonts w:ascii="Times New Roman" w:hAnsi="Times New Roman"/>
          <w:bCs/>
          <w:sz w:val="26"/>
          <w:szCs w:val="26"/>
        </w:rPr>
        <w:t xml:space="preserve">). </w:t>
      </w: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w:t>
      </w: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План внеурочной деятельности может включать курсы внеурочной деятельнос</w:t>
      </w:r>
      <w:r>
        <w:rPr>
          <w:rFonts w:ascii="Times New Roman" w:hAnsi="Times New Roman"/>
          <w:bCs/>
          <w:sz w:val="26"/>
          <w:szCs w:val="26"/>
        </w:rPr>
        <w:t xml:space="preserve">ти содержательно относящихся к </w:t>
      </w:r>
      <w:r w:rsidRPr="00B62171">
        <w:rPr>
          <w:rFonts w:ascii="Times New Roman" w:hAnsi="Times New Roman"/>
          <w:bCs/>
          <w:sz w:val="26"/>
          <w:szCs w:val="26"/>
        </w:rPr>
        <w:t xml:space="preserve">тому или иному учебному предмету или группе предметов, но направленных на достижение не предметных, а личностных и </w:t>
      </w:r>
      <w:proofErr w:type="spellStart"/>
      <w:r w:rsidRPr="00B62171">
        <w:rPr>
          <w:rFonts w:ascii="Times New Roman" w:hAnsi="Times New Roman"/>
          <w:bCs/>
          <w:sz w:val="26"/>
          <w:szCs w:val="26"/>
        </w:rPr>
        <w:t>метапредметных</w:t>
      </w:r>
      <w:proofErr w:type="spellEnd"/>
      <w:r w:rsidRPr="00B62171">
        <w:rPr>
          <w:rFonts w:ascii="Times New Roman" w:hAnsi="Times New Roman"/>
          <w:bCs/>
          <w:sz w:val="26"/>
          <w:szCs w:val="26"/>
        </w:rPr>
        <w:t xml:space="preserve"> результатов. Эти результаты сформулированы в Планируемых результатах программ междисциплинарных курсов (1.2.3. Планируемые результаты освоения учебных и междисциплинарных программ).</w:t>
      </w: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Например: «Формирование учебно-исследовательской культуры в процессе естественно-научного образования», «Развитие ИКТ-компетентности», «Смысловое чтение как основа естественно-научного образования».</w:t>
      </w: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Для реализации плана внеурочной деятельности педагогами разрабатываются программы курсов внеурочной деятельности. Эти программы являются обязательным компонентом раздела «Программы отдельных учебных предметов, курсов и курсов внеурочной деятельности» и входят, таким образом, в ООП ООО.</w:t>
      </w:r>
    </w:p>
    <w:p w:rsidR="00C86B0F" w:rsidRPr="00B62171" w:rsidRDefault="00C86B0F" w:rsidP="00C86B0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При разработке программ курсов внеурочной деятельности необходимо учитывать структуру, определенную в п. 18.2.2.ФГОС С(П)О, а 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Издательства «Просвещение». (</w:t>
      </w:r>
      <w:proofErr w:type="gramStart"/>
      <w:r w:rsidRPr="00B62171">
        <w:rPr>
          <w:rFonts w:ascii="Times New Roman" w:hAnsi="Times New Roman"/>
          <w:bCs/>
          <w:sz w:val="26"/>
          <w:szCs w:val="26"/>
        </w:rPr>
        <w:t>http://www.prosv.ru/info.aspx?ob_no=16622</w:t>
      </w:r>
      <w:proofErr w:type="gramEnd"/>
      <w:r w:rsidRPr="00B62171">
        <w:rPr>
          <w:rFonts w:ascii="Times New Roman" w:hAnsi="Times New Roman"/>
          <w:bCs/>
          <w:sz w:val="26"/>
          <w:szCs w:val="26"/>
        </w:rPr>
        <w:t>).</w:t>
      </w:r>
    </w:p>
    <w:p w:rsidR="00C86B0F" w:rsidRPr="00B62171" w:rsidRDefault="00C86B0F" w:rsidP="00C86B0F">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Внеурочная деятельность</w:t>
      </w:r>
      <w:r w:rsidRPr="00B62171">
        <w:rPr>
          <w:rFonts w:ascii="Times New Roman" w:hAnsi="Times New Roman"/>
          <w:b/>
          <w:sz w:val="26"/>
          <w:szCs w:val="26"/>
        </w:rPr>
        <w:t xml:space="preserve"> </w:t>
      </w:r>
      <w:r w:rsidRPr="00B62171">
        <w:rPr>
          <w:rFonts w:ascii="Times New Roman" w:hAnsi="Times New Roman"/>
          <w:sz w:val="26"/>
          <w:szCs w:val="26"/>
        </w:rPr>
        <w:t xml:space="preserve">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w:t>
      </w:r>
      <w:proofErr w:type="spellStart"/>
      <w:r w:rsidRPr="00B62171">
        <w:rPr>
          <w:rFonts w:ascii="Times New Roman" w:hAnsi="Times New Roman"/>
          <w:sz w:val="26"/>
          <w:szCs w:val="26"/>
        </w:rPr>
        <w:t>общеинтеллектуальное</w:t>
      </w:r>
      <w:proofErr w:type="spellEnd"/>
      <w:r w:rsidRPr="00B62171">
        <w:rPr>
          <w:rFonts w:ascii="Times New Roman" w:hAnsi="Times New Roman"/>
          <w:sz w:val="26"/>
          <w:szCs w:val="26"/>
        </w:rPr>
        <w:t xml:space="preserve">, общекультурное, спортивно-оздоровительное и т. д.). </w:t>
      </w:r>
    </w:p>
    <w:p w:rsidR="00C86B0F" w:rsidRPr="00B62171" w:rsidRDefault="00C86B0F" w:rsidP="00C86B0F">
      <w:pPr>
        <w:pStyle w:val="ipara"/>
        <w:spacing w:before="0" w:beforeAutospacing="0" w:after="0" w:afterAutospacing="0"/>
        <w:ind w:left="57" w:right="57" w:firstLine="709"/>
        <w:jc w:val="both"/>
        <w:rPr>
          <w:noProof/>
          <w:sz w:val="26"/>
          <w:szCs w:val="26"/>
        </w:rPr>
      </w:pPr>
      <w:r w:rsidRPr="00B62171">
        <w:rPr>
          <w:rStyle w:val="dash041e005f0431005f044b005f0447005f043d005f044b005f0439005f005fchar1char1"/>
          <w:sz w:val="26"/>
          <w:szCs w:val="26"/>
        </w:rPr>
        <w:t>Реализация р</w:t>
      </w:r>
      <w:r w:rsidRPr="00B62171">
        <w:rPr>
          <w:sz w:val="26"/>
          <w:szCs w:val="26"/>
        </w:rPr>
        <w:t>азличных видов внеурочной деятельности позволяет учителю биологии направлять учащихся от индивидуальной деятельности к групповой. Особенно большое значение имеют комплексные исследования учащихся в решении экологических проблем (общих и региональных). При организации внеурочной деятельности необходимо вовлекать учащихся в активную природоохранную деятельность, научно-исследовательскую деятельность, научно-практическую (участие в акциях и проектах), научно-просветительскую деятельность, эколого-краеведческую деятельность и эстетическую деятельность; работать с партнерами (особо охраняемые природные территории, Лесное хозяйство, школы и т.д.); формировать бережное отношение к природе, друг к другу. Мероприятия могут носить различную форму и характер (содержание). Это могут быть акции, проекты и конкурсы, посвященные благоустройству своей территории.</w:t>
      </w:r>
      <w:r w:rsidRPr="00B62171">
        <w:rPr>
          <w:noProof/>
          <w:sz w:val="26"/>
          <w:szCs w:val="26"/>
        </w:rPr>
        <w:t xml:space="preserve"> При составлении плана внеурочной деятельности следует исходить из </w:t>
      </w:r>
      <w:r w:rsidRPr="00B62171">
        <w:rPr>
          <w:noProof/>
          <w:sz w:val="26"/>
          <w:szCs w:val="26"/>
        </w:rPr>
        <w:lastRenderedPageBreak/>
        <w:t>охраны, обогащения и изучения родной природы и проведения исследовательской деятельности.</w:t>
      </w:r>
    </w:p>
    <w:p w:rsidR="00C86B0F" w:rsidRPr="00B62171" w:rsidRDefault="00C86B0F" w:rsidP="00C86B0F">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учреждения,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Внеурочная деятельность может реализовываться в рамках факультативных и элективных курс</w:t>
      </w:r>
      <w:r>
        <w:rPr>
          <w:kern w:val="2"/>
          <w:sz w:val="26"/>
          <w:szCs w:val="26"/>
        </w:rPr>
        <w:t>ов</w:t>
      </w:r>
      <w:r w:rsidRPr="00B62171">
        <w:rPr>
          <w:kern w:val="2"/>
          <w:sz w:val="26"/>
          <w:szCs w:val="26"/>
        </w:rPr>
        <w:t>.</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Основными этапами проектирования программ факультативных и элективных курсов по предмету являются:</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3. Определение цели и дидактических задач курса.</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6. Разработка вариантов планирования и методических рекомендаций.</w:t>
      </w:r>
    </w:p>
    <w:p w:rsidR="00C86B0F" w:rsidRDefault="00C86B0F" w:rsidP="00C86B0F">
      <w:pPr>
        <w:pStyle w:val="-11"/>
        <w:autoSpaceDE w:val="0"/>
        <w:autoSpaceDN w:val="0"/>
        <w:adjustRightInd w:val="0"/>
        <w:ind w:left="57" w:right="57" w:firstLine="709"/>
        <w:jc w:val="right"/>
        <w:rPr>
          <w:kern w:val="2"/>
          <w:sz w:val="26"/>
          <w:szCs w:val="26"/>
        </w:rPr>
      </w:pPr>
    </w:p>
    <w:p w:rsidR="00C86B0F" w:rsidRPr="00B62171" w:rsidRDefault="00C86B0F" w:rsidP="00C86B0F">
      <w:pPr>
        <w:pStyle w:val="-11"/>
        <w:autoSpaceDE w:val="0"/>
        <w:autoSpaceDN w:val="0"/>
        <w:adjustRightInd w:val="0"/>
        <w:ind w:left="57" w:right="57" w:firstLine="709"/>
        <w:jc w:val="right"/>
        <w:rPr>
          <w:kern w:val="2"/>
          <w:sz w:val="26"/>
          <w:szCs w:val="26"/>
        </w:rPr>
      </w:pPr>
      <w:r w:rsidRPr="00B62171">
        <w:rPr>
          <w:kern w:val="2"/>
          <w:sz w:val="26"/>
          <w:szCs w:val="26"/>
        </w:rPr>
        <w:t>Таблица 5</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Основные сходства и различия факультативных и элективных курсов</w:t>
      </w:r>
    </w:p>
    <w:p w:rsidR="00C86B0F" w:rsidRPr="00B62171" w:rsidRDefault="00C86B0F" w:rsidP="00C86B0F">
      <w:pPr>
        <w:pStyle w:val="-11"/>
        <w:autoSpaceDE w:val="0"/>
        <w:autoSpaceDN w:val="0"/>
        <w:adjustRightInd w:val="0"/>
        <w:ind w:left="57" w:right="57" w:firstLine="709"/>
        <w:jc w:val="both"/>
        <w:rPr>
          <w:kern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3"/>
      </w:tblGrid>
      <w:tr w:rsidR="00C86B0F" w:rsidRPr="00B62171" w:rsidTr="00CB319C">
        <w:tc>
          <w:tcPr>
            <w:tcW w:w="4785" w:type="dxa"/>
          </w:tcPr>
          <w:p w:rsidR="00C86B0F" w:rsidRPr="00B62171" w:rsidRDefault="00C86B0F" w:rsidP="00CB319C">
            <w:pPr>
              <w:pStyle w:val="-11"/>
              <w:autoSpaceDE w:val="0"/>
              <w:autoSpaceDN w:val="0"/>
              <w:adjustRightInd w:val="0"/>
              <w:ind w:left="57" w:right="57"/>
              <w:jc w:val="both"/>
              <w:rPr>
                <w:b/>
                <w:kern w:val="2"/>
                <w:sz w:val="26"/>
                <w:szCs w:val="26"/>
              </w:rPr>
            </w:pPr>
            <w:r w:rsidRPr="00B62171">
              <w:rPr>
                <w:b/>
                <w:kern w:val="2"/>
                <w:sz w:val="26"/>
                <w:szCs w:val="26"/>
              </w:rPr>
              <w:t>Факультативные курсы</w:t>
            </w:r>
          </w:p>
        </w:tc>
        <w:tc>
          <w:tcPr>
            <w:tcW w:w="4786" w:type="dxa"/>
          </w:tcPr>
          <w:p w:rsidR="00C86B0F" w:rsidRPr="00B62171" w:rsidRDefault="00C86B0F" w:rsidP="00CB319C">
            <w:pPr>
              <w:pStyle w:val="-11"/>
              <w:autoSpaceDE w:val="0"/>
              <w:autoSpaceDN w:val="0"/>
              <w:adjustRightInd w:val="0"/>
              <w:ind w:left="57" w:right="57"/>
              <w:jc w:val="both"/>
              <w:rPr>
                <w:b/>
                <w:kern w:val="2"/>
                <w:sz w:val="26"/>
                <w:szCs w:val="26"/>
              </w:rPr>
            </w:pPr>
            <w:r w:rsidRPr="00B62171">
              <w:rPr>
                <w:b/>
                <w:kern w:val="2"/>
                <w:sz w:val="26"/>
                <w:szCs w:val="26"/>
              </w:rPr>
              <w:t>Элективные курсы</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jc w:val="center"/>
              <w:rPr>
                <w:b/>
                <w:i/>
                <w:kern w:val="2"/>
                <w:sz w:val="26"/>
                <w:szCs w:val="26"/>
              </w:rPr>
            </w:pPr>
            <w:r w:rsidRPr="00B62171">
              <w:rPr>
                <w:b/>
                <w:i/>
                <w:kern w:val="2"/>
                <w:sz w:val="26"/>
                <w:szCs w:val="26"/>
              </w:rPr>
              <w:t>Сходство</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1. Цель: углубление знаний, развитие интересов, способностей и склонностей учащихся, их профессиональное самоопределение</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rPr>
                <w:color w:val="333333"/>
                <w:sz w:val="26"/>
                <w:szCs w:val="26"/>
                <w:shd w:val="clear" w:color="auto" w:fill="FFFFFF"/>
              </w:rPr>
            </w:pPr>
            <w:r w:rsidRPr="00B62171">
              <w:rPr>
                <w:kern w:val="2"/>
                <w:sz w:val="26"/>
                <w:szCs w:val="26"/>
              </w:rPr>
              <w:t>2. Выбираются учащимися на основе собственных интересов</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rPr>
                <w:color w:val="333333"/>
                <w:sz w:val="26"/>
                <w:szCs w:val="26"/>
              </w:rPr>
            </w:pPr>
            <w:r w:rsidRPr="00B62171">
              <w:rPr>
                <w:kern w:val="2"/>
                <w:sz w:val="26"/>
                <w:szCs w:val="26"/>
              </w:rPr>
              <w:t>3. Содержательно могут далеко выходить за рамки школьных учебных предметов и не должны их дублировать.</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4. Отсутствие государственных образовательных стандартов и государственного итогового контроля по результатам их изучения</w:t>
            </w:r>
          </w:p>
        </w:tc>
      </w:tr>
      <w:tr w:rsidR="00C86B0F" w:rsidRPr="00B62171" w:rsidTr="00CB319C">
        <w:tc>
          <w:tcPr>
            <w:tcW w:w="9571" w:type="dxa"/>
            <w:gridSpan w:val="2"/>
          </w:tcPr>
          <w:p w:rsidR="00C86B0F" w:rsidRPr="00B62171" w:rsidRDefault="00C86B0F" w:rsidP="00CB319C">
            <w:pPr>
              <w:pStyle w:val="-11"/>
              <w:autoSpaceDE w:val="0"/>
              <w:autoSpaceDN w:val="0"/>
              <w:adjustRightInd w:val="0"/>
              <w:ind w:left="57" w:right="57"/>
              <w:jc w:val="center"/>
              <w:rPr>
                <w:b/>
                <w:kern w:val="2"/>
                <w:sz w:val="26"/>
                <w:szCs w:val="26"/>
              </w:rPr>
            </w:pPr>
            <w:r w:rsidRPr="00B62171">
              <w:rPr>
                <w:b/>
                <w:i/>
                <w:kern w:val="2"/>
                <w:sz w:val="26"/>
                <w:szCs w:val="26"/>
              </w:rPr>
              <w:t>Различия</w:t>
            </w:r>
          </w:p>
        </w:tc>
      </w:tr>
      <w:tr w:rsidR="00C86B0F" w:rsidRPr="00B62171" w:rsidTr="00CB319C">
        <w:tc>
          <w:tcPr>
            <w:tcW w:w="4785"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1. Выбираются лишь частью учащихся</w:t>
            </w:r>
          </w:p>
        </w:tc>
        <w:tc>
          <w:tcPr>
            <w:tcW w:w="4786"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1. Выбираются каждым учеником</w:t>
            </w:r>
          </w:p>
        </w:tc>
      </w:tr>
      <w:tr w:rsidR="00C86B0F" w:rsidRPr="00B62171" w:rsidTr="00CB319C">
        <w:tc>
          <w:tcPr>
            <w:tcW w:w="4785"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Занятия вынесены за сетку часов в расписании занятий</w:t>
            </w:r>
          </w:p>
        </w:tc>
        <w:tc>
          <w:tcPr>
            <w:tcW w:w="4786"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Указаны в расписании, как и остальные уроки</w:t>
            </w:r>
          </w:p>
        </w:tc>
      </w:tr>
      <w:tr w:rsidR="00C86B0F" w:rsidRPr="00B62171" w:rsidTr="00CB319C">
        <w:tc>
          <w:tcPr>
            <w:tcW w:w="4785"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Занятия необязательны для посещения</w:t>
            </w:r>
          </w:p>
        </w:tc>
        <w:tc>
          <w:tcPr>
            <w:tcW w:w="4786"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Занятия обязательны для посещения</w:t>
            </w:r>
          </w:p>
        </w:tc>
      </w:tr>
      <w:tr w:rsidR="00C86B0F" w:rsidRPr="00B62171" w:rsidTr="00CB319C">
        <w:tc>
          <w:tcPr>
            <w:tcW w:w="4785"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Длительность минимум 34 ч. Занятия планируются на весь учебный год</w:t>
            </w:r>
          </w:p>
        </w:tc>
        <w:tc>
          <w:tcPr>
            <w:tcW w:w="4786"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Длительность от 6–8 до 72 ч, могут быть рассчитаны на 1–2 месяца, на четверть, полугодие</w:t>
            </w:r>
          </w:p>
        </w:tc>
      </w:tr>
      <w:tr w:rsidR="00C86B0F" w:rsidRPr="00B62171" w:rsidTr="00CB319C">
        <w:tc>
          <w:tcPr>
            <w:tcW w:w="4785"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Может быть предложен один курс по одному предмету</w:t>
            </w:r>
          </w:p>
        </w:tc>
        <w:tc>
          <w:tcPr>
            <w:tcW w:w="4786" w:type="dxa"/>
          </w:tcPr>
          <w:p w:rsidR="00C86B0F" w:rsidRPr="00B62171" w:rsidRDefault="00C86B0F" w:rsidP="00CB319C">
            <w:pPr>
              <w:pStyle w:val="-11"/>
              <w:autoSpaceDE w:val="0"/>
              <w:autoSpaceDN w:val="0"/>
              <w:adjustRightInd w:val="0"/>
              <w:ind w:left="57" w:right="57"/>
              <w:rPr>
                <w:kern w:val="2"/>
                <w:sz w:val="26"/>
                <w:szCs w:val="26"/>
              </w:rPr>
            </w:pPr>
            <w:r w:rsidRPr="00B62171">
              <w:rPr>
                <w:kern w:val="2"/>
                <w:sz w:val="26"/>
                <w:szCs w:val="26"/>
              </w:rPr>
              <w:t xml:space="preserve">Должно быть предложено избыточное количество по сравнению с числом </w:t>
            </w:r>
            <w:r w:rsidRPr="00B62171">
              <w:rPr>
                <w:kern w:val="2"/>
                <w:sz w:val="26"/>
                <w:szCs w:val="26"/>
              </w:rPr>
              <w:lastRenderedPageBreak/>
              <w:t>курсов, которые обязан выбрать учащийся.</w:t>
            </w:r>
          </w:p>
        </w:tc>
      </w:tr>
    </w:tbl>
    <w:p w:rsidR="00C86B0F" w:rsidRPr="00B62171" w:rsidRDefault="00C86B0F" w:rsidP="00C86B0F">
      <w:pPr>
        <w:pStyle w:val="-11"/>
        <w:autoSpaceDE w:val="0"/>
        <w:autoSpaceDN w:val="0"/>
        <w:adjustRightInd w:val="0"/>
        <w:ind w:left="57" w:right="57" w:firstLine="709"/>
        <w:jc w:val="both"/>
        <w:rPr>
          <w:kern w:val="2"/>
          <w:sz w:val="26"/>
          <w:szCs w:val="26"/>
        </w:rPr>
      </w:pP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 xml:space="preserve">При реализации программ факультативных и элективных курсов, входящих в учебный план </w:t>
      </w:r>
      <w:r w:rsidRPr="00B62171">
        <w:rPr>
          <w:sz w:val="26"/>
          <w:szCs w:val="26"/>
        </w:rPr>
        <w:t>общеобразовательн</w:t>
      </w:r>
      <w:r>
        <w:rPr>
          <w:sz w:val="26"/>
          <w:szCs w:val="26"/>
        </w:rPr>
        <w:t>ой</w:t>
      </w:r>
      <w:r w:rsidRPr="00B62171">
        <w:rPr>
          <w:sz w:val="26"/>
          <w:szCs w:val="26"/>
        </w:rPr>
        <w:t xml:space="preserve"> </w:t>
      </w:r>
      <w:r>
        <w:rPr>
          <w:sz w:val="26"/>
          <w:szCs w:val="26"/>
        </w:rPr>
        <w:t>организации</w:t>
      </w:r>
      <w:r w:rsidRPr="00B62171">
        <w:rPr>
          <w:kern w:val="2"/>
          <w:sz w:val="26"/>
          <w:szCs w:val="26"/>
        </w:rPr>
        <w:t xml:space="preserve">, необходимо использовать учебники и учебные пособиям, включенные в состав Федерального перечня учебников на 2013/2014 учебный год, утвержденного приказом Министерства образования и науки РФ от 19 декабря </w:t>
      </w:r>
      <w:smartTag w:uri="urn:schemas-microsoft-com:office:smarttags" w:element="metricconverter">
        <w:smartTagPr>
          <w:attr w:name="ProductID" w:val="2012 г"/>
        </w:smartTagPr>
        <w:r w:rsidRPr="00B62171">
          <w:rPr>
            <w:kern w:val="2"/>
            <w:sz w:val="26"/>
            <w:szCs w:val="26"/>
          </w:rPr>
          <w:t>2012 г</w:t>
        </w:r>
      </w:smartTag>
      <w:r w:rsidRPr="00B62171">
        <w:rPr>
          <w:kern w:val="2"/>
          <w:sz w:val="26"/>
          <w:szCs w:val="26"/>
        </w:rPr>
        <w:t>. № 106</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Примерная тематика факультативных и элективных курсов по предмету:</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В соответствии с ФГОС ООО внеурочная деятельность является обязательным компонентом содержания ООП ООО.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 xml:space="preserve">План внеурочной деятельности может включать курсы внеурочной деятельности, направленных на достижение, в первую очередь, личностных и </w:t>
      </w:r>
      <w:proofErr w:type="spellStart"/>
      <w:r w:rsidRPr="00B62171">
        <w:rPr>
          <w:kern w:val="2"/>
          <w:sz w:val="26"/>
          <w:szCs w:val="26"/>
        </w:rPr>
        <w:t>метапредметных</w:t>
      </w:r>
      <w:proofErr w:type="spellEnd"/>
      <w:r w:rsidRPr="00B62171">
        <w:rPr>
          <w:kern w:val="2"/>
          <w:sz w:val="26"/>
          <w:szCs w:val="26"/>
        </w:rPr>
        <w:t xml:space="preserve"> результатов, отраженных в ООП образовательного учреждения. Эти результаты сформулированы в Планируемых результатах программ </w:t>
      </w:r>
      <w:proofErr w:type="spellStart"/>
      <w:r w:rsidRPr="00B62171">
        <w:rPr>
          <w:kern w:val="2"/>
          <w:sz w:val="26"/>
          <w:szCs w:val="26"/>
        </w:rPr>
        <w:t>междисциплинарых</w:t>
      </w:r>
      <w:proofErr w:type="spellEnd"/>
      <w:r w:rsidRPr="00B62171">
        <w:rPr>
          <w:kern w:val="2"/>
          <w:sz w:val="26"/>
          <w:szCs w:val="26"/>
        </w:rPr>
        <w:t xml:space="preserve"> курсов (ООП НОО п 2.1; ООП ООО п. 1.2.3.1</w:t>
      </w:r>
      <w:proofErr w:type="gramStart"/>
      <w:r w:rsidRPr="00B62171">
        <w:rPr>
          <w:kern w:val="2"/>
          <w:sz w:val="26"/>
          <w:szCs w:val="26"/>
        </w:rPr>
        <w:t>. и</w:t>
      </w:r>
      <w:proofErr w:type="gramEnd"/>
      <w:r w:rsidRPr="00B62171">
        <w:rPr>
          <w:kern w:val="2"/>
          <w:sz w:val="26"/>
          <w:szCs w:val="26"/>
        </w:rPr>
        <w:t xml:space="preserve"> п. 1.2.3.3.).</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С(П)О. Программы курсов внеурочной деятельности содержат:</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sz w:val="26"/>
          <w:szCs w:val="26"/>
        </w:rPr>
        <w:t>1) пояснительную</w:t>
      </w:r>
      <w:r w:rsidRPr="00B62171">
        <w:rPr>
          <w:kern w:val="2"/>
          <w:sz w:val="26"/>
          <w:szCs w:val="26"/>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C86B0F" w:rsidRPr="00B62171" w:rsidRDefault="00C86B0F" w:rsidP="00C86B0F">
      <w:pPr>
        <w:pStyle w:val="-11"/>
        <w:tabs>
          <w:tab w:val="num" w:pos="993"/>
        </w:tabs>
        <w:autoSpaceDE w:val="0"/>
        <w:autoSpaceDN w:val="0"/>
        <w:adjustRightInd w:val="0"/>
        <w:ind w:left="57" w:right="57" w:firstLine="709"/>
        <w:jc w:val="both"/>
        <w:rPr>
          <w:kern w:val="2"/>
          <w:sz w:val="26"/>
          <w:szCs w:val="26"/>
        </w:rPr>
      </w:pPr>
      <w:r w:rsidRPr="00B62171">
        <w:rPr>
          <w:sz w:val="26"/>
          <w:szCs w:val="26"/>
        </w:rPr>
        <w:t>2) общую</w:t>
      </w:r>
      <w:r w:rsidRPr="00B62171">
        <w:rPr>
          <w:kern w:val="2"/>
          <w:sz w:val="26"/>
          <w:szCs w:val="26"/>
        </w:rPr>
        <w:t xml:space="preserve"> характеристику курса внеурочной деятельности;</w:t>
      </w:r>
    </w:p>
    <w:p w:rsidR="00C86B0F" w:rsidRPr="00B62171" w:rsidRDefault="00C86B0F" w:rsidP="00C86B0F">
      <w:pPr>
        <w:pStyle w:val="-11"/>
        <w:tabs>
          <w:tab w:val="num" w:pos="993"/>
        </w:tabs>
        <w:autoSpaceDE w:val="0"/>
        <w:autoSpaceDN w:val="0"/>
        <w:adjustRightInd w:val="0"/>
        <w:ind w:left="57" w:right="57" w:firstLine="709"/>
        <w:jc w:val="both"/>
        <w:rPr>
          <w:kern w:val="2"/>
          <w:sz w:val="26"/>
          <w:szCs w:val="26"/>
        </w:rPr>
      </w:pPr>
      <w:r w:rsidRPr="00B62171">
        <w:rPr>
          <w:sz w:val="26"/>
          <w:szCs w:val="26"/>
        </w:rPr>
        <w:t>3) личностные и</w:t>
      </w:r>
      <w:r w:rsidRPr="00B62171">
        <w:rPr>
          <w:kern w:val="2"/>
          <w:sz w:val="26"/>
          <w:szCs w:val="26"/>
        </w:rPr>
        <w:t xml:space="preserve"> метапредметные результаты освоения курса внеурочной деятельности;</w:t>
      </w:r>
    </w:p>
    <w:p w:rsidR="00C86B0F" w:rsidRPr="00B62171" w:rsidRDefault="00C86B0F" w:rsidP="00C86B0F">
      <w:pPr>
        <w:pStyle w:val="-11"/>
        <w:tabs>
          <w:tab w:val="num" w:pos="993"/>
        </w:tabs>
        <w:autoSpaceDE w:val="0"/>
        <w:autoSpaceDN w:val="0"/>
        <w:adjustRightInd w:val="0"/>
        <w:ind w:left="57" w:right="57" w:firstLine="709"/>
        <w:jc w:val="both"/>
        <w:rPr>
          <w:kern w:val="2"/>
          <w:sz w:val="26"/>
          <w:szCs w:val="26"/>
        </w:rPr>
      </w:pPr>
      <w:r w:rsidRPr="00B62171">
        <w:rPr>
          <w:sz w:val="26"/>
          <w:szCs w:val="26"/>
        </w:rPr>
        <w:t>4) содержание</w:t>
      </w:r>
      <w:r w:rsidRPr="00B62171">
        <w:rPr>
          <w:kern w:val="2"/>
          <w:sz w:val="26"/>
          <w:szCs w:val="26"/>
        </w:rPr>
        <w:t xml:space="preserve"> курса внеурочной деятельности;</w:t>
      </w:r>
    </w:p>
    <w:p w:rsidR="00C86B0F" w:rsidRPr="00B62171" w:rsidRDefault="00C86B0F" w:rsidP="00C86B0F">
      <w:pPr>
        <w:pStyle w:val="-11"/>
        <w:tabs>
          <w:tab w:val="num" w:pos="993"/>
        </w:tabs>
        <w:autoSpaceDE w:val="0"/>
        <w:autoSpaceDN w:val="0"/>
        <w:adjustRightInd w:val="0"/>
        <w:ind w:left="57" w:right="57" w:firstLine="709"/>
        <w:jc w:val="both"/>
        <w:rPr>
          <w:kern w:val="2"/>
          <w:sz w:val="26"/>
          <w:szCs w:val="26"/>
        </w:rPr>
      </w:pPr>
      <w:r w:rsidRPr="00B62171">
        <w:rPr>
          <w:sz w:val="26"/>
          <w:szCs w:val="26"/>
        </w:rPr>
        <w:t>5) </w:t>
      </w:r>
      <w:r w:rsidRPr="00B62171">
        <w:rPr>
          <w:kern w:val="2"/>
          <w:sz w:val="26"/>
          <w:szCs w:val="26"/>
        </w:rPr>
        <w:t>тематическое планирование с определением основных видов внеурочной деятельности обучающихся;</w:t>
      </w:r>
    </w:p>
    <w:p w:rsidR="00C86B0F" w:rsidRPr="00B62171" w:rsidRDefault="00C86B0F" w:rsidP="00C86B0F">
      <w:pPr>
        <w:spacing w:after="0" w:line="240" w:lineRule="auto"/>
        <w:ind w:left="57" w:right="57" w:firstLine="709"/>
        <w:jc w:val="both"/>
        <w:rPr>
          <w:rFonts w:ascii="Times New Roman" w:hAnsi="Times New Roman"/>
          <w:kern w:val="2"/>
          <w:sz w:val="26"/>
          <w:szCs w:val="26"/>
        </w:rPr>
      </w:pPr>
      <w:r w:rsidRPr="00B62171">
        <w:rPr>
          <w:rFonts w:ascii="Times New Roman" w:hAnsi="Times New Roman"/>
          <w:sz w:val="26"/>
          <w:szCs w:val="26"/>
        </w:rPr>
        <w:t>6) описание</w:t>
      </w:r>
      <w:r w:rsidRPr="00B62171">
        <w:rPr>
          <w:rFonts w:ascii="Times New Roman" w:hAnsi="Times New Roman"/>
          <w:kern w:val="2"/>
          <w:sz w:val="26"/>
          <w:szCs w:val="26"/>
        </w:rPr>
        <w:t xml:space="preserve"> учебно-методического и материально-технического обеспечения курса внеурочной деятельности.</w:t>
      </w:r>
    </w:p>
    <w:p w:rsidR="00C86B0F" w:rsidRPr="00B62171" w:rsidRDefault="00C86B0F" w:rsidP="00C86B0F">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4" w:history="1">
        <w:r w:rsidRPr="00B62171">
          <w:rPr>
            <w:kern w:val="2"/>
            <w:sz w:val="26"/>
            <w:szCs w:val="26"/>
          </w:rPr>
          <w:t>http://www.prosv.ru/info.aspx?ob_no=16622</w:t>
        </w:r>
      </w:hyperlink>
      <w:r w:rsidRPr="00B62171">
        <w:rPr>
          <w:kern w:val="2"/>
          <w:sz w:val="26"/>
          <w:szCs w:val="26"/>
        </w:rPr>
        <w:t xml:space="preserve">). При проектировании внеурочной деятельности педагогу следует обратить внимание на следующие пособия: </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 xml:space="preserve">1) Моделируем внеурочную деятельность обучающихся. Методические рекомендации: пособие для учителей </w:t>
      </w:r>
      <w:proofErr w:type="spellStart"/>
      <w:r w:rsidRPr="00B62171">
        <w:rPr>
          <w:kern w:val="2"/>
          <w:sz w:val="26"/>
          <w:szCs w:val="26"/>
        </w:rPr>
        <w:t>общеобразоват</w:t>
      </w:r>
      <w:proofErr w:type="spellEnd"/>
      <w:proofErr w:type="gramStart"/>
      <w:r w:rsidRPr="00B62171">
        <w:rPr>
          <w:kern w:val="2"/>
          <w:sz w:val="26"/>
          <w:szCs w:val="26"/>
        </w:rPr>
        <w:t>. организаций</w:t>
      </w:r>
      <w:proofErr w:type="gramEnd"/>
      <w:r w:rsidRPr="00B62171">
        <w:rPr>
          <w:kern w:val="2"/>
          <w:sz w:val="26"/>
          <w:szCs w:val="26"/>
        </w:rPr>
        <w:t xml:space="preserve">  / авторы-</w:t>
      </w:r>
      <w:r w:rsidRPr="00B62171">
        <w:rPr>
          <w:kern w:val="2"/>
          <w:sz w:val="26"/>
          <w:szCs w:val="26"/>
        </w:rPr>
        <w:lastRenderedPageBreak/>
        <w:t>составители: Ю. Ю. Баранова, А. В. Кисляков, М. И. </w:t>
      </w:r>
      <w:proofErr w:type="spellStart"/>
      <w:r w:rsidRPr="00B62171">
        <w:rPr>
          <w:kern w:val="2"/>
          <w:sz w:val="26"/>
          <w:szCs w:val="26"/>
        </w:rPr>
        <w:t>Солодков</w:t>
      </w:r>
      <w:r>
        <w:rPr>
          <w:kern w:val="2"/>
          <w:sz w:val="26"/>
          <w:szCs w:val="26"/>
        </w:rPr>
        <w:t>а</w:t>
      </w:r>
      <w:proofErr w:type="spellEnd"/>
      <w:r w:rsidRPr="00B62171">
        <w:rPr>
          <w:kern w:val="2"/>
          <w:sz w:val="26"/>
          <w:szCs w:val="26"/>
        </w:rPr>
        <w:t xml:space="preserve"> и др. М  : Просвещение, 2013. – 96 с.; </w:t>
      </w:r>
    </w:p>
    <w:p w:rsidR="00C86B0F" w:rsidRPr="00B62171" w:rsidRDefault="00C86B0F" w:rsidP="00C86B0F">
      <w:pPr>
        <w:pStyle w:val="-11"/>
        <w:autoSpaceDE w:val="0"/>
        <w:autoSpaceDN w:val="0"/>
        <w:adjustRightInd w:val="0"/>
        <w:ind w:left="57" w:right="57" w:firstLine="709"/>
        <w:jc w:val="both"/>
        <w:rPr>
          <w:kern w:val="2"/>
          <w:sz w:val="26"/>
          <w:szCs w:val="26"/>
        </w:rPr>
      </w:pPr>
      <w:r w:rsidRPr="00B62171">
        <w:rPr>
          <w:kern w:val="2"/>
          <w:sz w:val="26"/>
          <w:szCs w:val="26"/>
        </w:rPr>
        <w:t xml:space="preserve">2) Внеурочная деятельность школьников. Методический конструктор: пособие для учителя / Д. В. Григорьев, П. В. Степанов. – </w:t>
      </w:r>
      <w:proofErr w:type="gramStart"/>
      <w:r w:rsidRPr="00B62171">
        <w:rPr>
          <w:kern w:val="2"/>
          <w:sz w:val="26"/>
          <w:szCs w:val="26"/>
        </w:rPr>
        <w:t>М. :</w:t>
      </w:r>
      <w:proofErr w:type="gramEnd"/>
      <w:r w:rsidRPr="00B62171">
        <w:rPr>
          <w:kern w:val="2"/>
          <w:sz w:val="26"/>
          <w:szCs w:val="26"/>
        </w:rPr>
        <w:t xml:space="preserve"> Просвещение, 2010. – 223 с.</w:t>
      </w:r>
    </w:p>
    <w:p w:rsidR="00906034" w:rsidRDefault="00906034">
      <w:bookmarkStart w:id="0" w:name="_GoBack"/>
      <w:bookmarkEnd w:id="0"/>
    </w:p>
    <w:sectPr w:rsidR="00906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0F"/>
    <w:rsid w:val="00906034"/>
    <w:rsid w:val="00C8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632B49-B855-40DD-9017-4AFC4DE3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0F"/>
    <w:pPr>
      <w:spacing w:after="200" w:line="276" w:lineRule="auto"/>
    </w:pPr>
    <w:rPr>
      <w:rFonts w:ascii="Calibri" w:eastAsia="Calibri" w:hAnsi="Calibri" w:cs="Times New Roman"/>
    </w:rPr>
  </w:style>
  <w:style w:type="paragraph" w:styleId="1">
    <w:name w:val="heading 1"/>
    <w:basedOn w:val="a"/>
    <w:link w:val="10"/>
    <w:uiPriority w:val="9"/>
    <w:qFormat/>
    <w:rsid w:val="00C86B0F"/>
    <w:pPr>
      <w:spacing w:before="100" w:beforeAutospacing="1" w:after="100" w:afterAutospacing="1" w:line="240" w:lineRule="auto"/>
      <w:jc w:val="center"/>
      <w:outlineLvl w:val="0"/>
    </w:pPr>
    <w:rPr>
      <w:rFonts w:ascii="Arial" w:eastAsia="Times New Roman" w:hAnsi="Arial"/>
      <w:color w:val="885F4A"/>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B0F"/>
    <w:rPr>
      <w:rFonts w:ascii="Arial" w:eastAsia="Times New Roman" w:hAnsi="Arial" w:cs="Times New Roman"/>
      <w:color w:val="885F4A"/>
      <w:kern w:val="36"/>
      <w:sz w:val="40"/>
      <w:szCs w:val="40"/>
    </w:rPr>
  </w:style>
  <w:style w:type="paragraph" w:customStyle="1" w:styleId="-11">
    <w:name w:val="Цветной список - Акцент 11"/>
    <w:basedOn w:val="a"/>
    <w:qFormat/>
    <w:rsid w:val="00C86B0F"/>
    <w:pPr>
      <w:spacing w:after="0" w:line="240" w:lineRule="auto"/>
      <w:ind w:left="720"/>
      <w:contextualSpacing/>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86B0F"/>
    <w:rPr>
      <w:rFonts w:ascii="Times New Roman" w:hAnsi="Times New Roman" w:cs="Times New Roman" w:hint="default"/>
      <w:strike w:val="0"/>
      <w:dstrike w:val="0"/>
      <w:sz w:val="24"/>
      <w:szCs w:val="24"/>
      <w:u w:val="none"/>
      <w:effect w:val="none"/>
    </w:rPr>
  </w:style>
  <w:style w:type="paragraph" w:customStyle="1" w:styleId="ipara">
    <w:name w:val="ipara"/>
    <w:basedOn w:val="a"/>
    <w:rsid w:val="00C86B0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sv.ru/info.aspx?ob_no=16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2014-11-03T10:42:00Z</dcterms:created>
  <dcterms:modified xsi:type="dcterms:W3CDTF">2014-11-03T10:42:00Z</dcterms:modified>
</cp:coreProperties>
</file>